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AA" w:rsidRPr="00E25DAA" w:rsidRDefault="00E25DAA" w:rsidP="009E2380">
      <w:pPr>
        <w:shd w:val="clear" w:color="auto" w:fill="FFFFFF"/>
        <w:spacing w:after="0" w:line="240" w:lineRule="auto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Утверждаю</w:t>
      </w:r>
    </w:p>
    <w:p w:rsidR="009E2380" w:rsidRDefault="00E25DAA" w:rsidP="009E2380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Директор МКОУ ДО </w:t>
      </w:r>
      <w:proofErr w:type="gramStart"/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« ДДТ</w:t>
      </w:r>
      <w:proofErr w:type="gramEnd"/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»</w:t>
      </w:r>
    </w:p>
    <w:p w:rsidR="00E25DAA" w:rsidRPr="00E25DAA" w:rsidRDefault="00E25DAA" w:rsidP="009E2380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________С.М. Мирзаева</w:t>
      </w:r>
    </w:p>
    <w:p w:rsidR="00E25DAA" w:rsidRPr="00E25DAA" w:rsidRDefault="00E25DAA" w:rsidP="009E2380">
      <w:pPr>
        <w:shd w:val="clear" w:color="auto" w:fill="FFFFFF"/>
        <w:spacing w:before="150" w:after="0" w:line="300" w:lineRule="atLeast"/>
        <w:ind w:firstLine="708"/>
        <w:jc w:val="right"/>
        <w:outlineLvl w:val="1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25DA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от 09.12.2017г</w:t>
      </w:r>
    </w:p>
    <w:p w:rsidR="009E2380" w:rsidRDefault="009E2380" w:rsidP="00AE45F9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9E2380" w:rsidRDefault="009E2380" w:rsidP="00AE45F9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55984" w:rsidRPr="00B55984" w:rsidRDefault="00B55984" w:rsidP="00AE45F9">
      <w:pPr>
        <w:shd w:val="clear" w:color="auto" w:fill="FFFFFF"/>
        <w:spacing w:before="150" w:after="150" w:line="300" w:lineRule="atLeast"/>
        <w:ind w:firstLine="708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Положение о распределении стимулирующей надбавки работников муниципального образовательного учреждения дополнительного образования </w:t>
      </w:r>
      <w:proofErr w:type="gramStart"/>
      <w:r w:rsidRPr="00AE45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Pr="00B559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Дом</w:t>
      </w:r>
      <w:proofErr w:type="gramEnd"/>
      <w:r w:rsidRPr="00B559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детского творчества» </w:t>
      </w:r>
      <w:r w:rsidRPr="00AE45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 «</w:t>
      </w:r>
      <w:proofErr w:type="spellStart"/>
      <w:r w:rsidRPr="00AE45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Дахадаевский</w:t>
      </w:r>
      <w:proofErr w:type="spellEnd"/>
      <w:r w:rsidRPr="00AE45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район»</w:t>
      </w:r>
    </w:p>
    <w:p w:rsidR="00B55984" w:rsidRPr="00B55984" w:rsidRDefault="00B55984" w:rsidP="00B55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№1 от 09.12.2017</w:t>
      </w:r>
      <w:r w:rsidRPr="00B5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г.</w:t>
      </w:r>
    </w:p>
    <w:p w:rsidR="009E2380" w:rsidRDefault="009E2380" w:rsidP="00B55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E2380" w:rsidRDefault="009E2380" w:rsidP="00B55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55984" w:rsidRPr="00B55984" w:rsidRDefault="00B55984" w:rsidP="00B55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ПОЛОЖЕНИЕ</w:t>
      </w:r>
    </w:p>
    <w:p w:rsidR="00B55984" w:rsidRPr="00B55984" w:rsidRDefault="00B55984" w:rsidP="009E2380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положения.</w:t>
      </w:r>
    </w:p>
    <w:p w:rsidR="00B55984" w:rsidRPr="00B55984" w:rsidRDefault="00B55984" w:rsidP="00B55984">
      <w:pPr>
        <w:numPr>
          <w:ilvl w:val="1"/>
          <w:numId w:val="1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Положение определяет общие требования к стимулированию труда </w:t>
      </w:r>
      <w:proofErr w:type="gramStart"/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работников  Дома</w:t>
      </w:r>
      <w:proofErr w:type="gramEnd"/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детского творчества, реализующих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</w:t>
      </w: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программы в соответствии с государственными стандартами дополнительного образования.</w:t>
      </w:r>
    </w:p>
    <w:p w:rsidR="00B55984" w:rsidRPr="00B55984" w:rsidRDefault="00B55984" w:rsidP="009E2380">
      <w:pPr>
        <w:numPr>
          <w:ilvl w:val="1"/>
          <w:numId w:val="1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Положение разработано в соответствии с Трудовым кодексом Российской Федерации в целях установления механизма связи заработной платы с результативностью труда и заинтересованности работников Дома детского творчества в повышении качества образовательного и воспитательного процессов, развитии творческой активности и инициативы.</w:t>
      </w:r>
    </w:p>
    <w:p w:rsidR="00B55984" w:rsidRPr="00B55984" w:rsidRDefault="00B55984" w:rsidP="00B55984">
      <w:pPr>
        <w:numPr>
          <w:ilvl w:val="1"/>
          <w:numId w:val="2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положение определяет: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п</w:t>
      </w:r>
      <w:r w:rsidR="00AE45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еречень критериев и показателей.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соотношение по распределению стимулирующего фонда между педагогическим персоналом.</w:t>
      </w:r>
    </w:p>
    <w:p w:rsidR="00B55984" w:rsidRPr="00B55984" w:rsidRDefault="009E2380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</w:t>
      </w:r>
      <w:r w:rsidR="00B55984"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Виды выплат стимулирующего характера работникам образовательного учреждения: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стимулирующие надбавки за выполнение показателей эффективности деятельности;</w:t>
      </w:r>
    </w:p>
    <w:p w:rsidR="00B55984" w:rsidRPr="00B55984" w:rsidRDefault="009E2380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</w:t>
      </w:r>
      <w:r w:rsidR="00B55984"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Право на стимулирующие выплаты имеют все основные педагогические работники образовательного учреждения.</w:t>
      </w:r>
    </w:p>
    <w:p w:rsidR="00B55984" w:rsidRPr="00B55984" w:rsidRDefault="009E2380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r w:rsidR="00B55984"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Стимулирующие выплаты выплачиваются ежемесячно.</w:t>
      </w:r>
    </w:p>
    <w:p w:rsidR="00B55984" w:rsidRPr="00B55984" w:rsidRDefault="009E2380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</w:t>
      </w:r>
      <w:r w:rsidR="00B55984"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Решение об установлении стимулирующих выплат принимается на основании представления руководителя образовательного </w:t>
      </w:r>
      <w:r w:rsid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учреждения </w:t>
      </w:r>
      <w:r w:rsidR="00B55984"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оформляется приказом директора Дома детского творчества.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B7B97" w:rsidRPr="00AB7B97" w:rsidRDefault="00AB7B97" w:rsidP="009E2380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7B97" w:rsidRPr="00AB7B97" w:rsidRDefault="00AB7B97" w:rsidP="009E2380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7B97" w:rsidRPr="00AB7B97" w:rsidRDefault="00AB7B97" w:rsidP="009E2380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B7B97" w:rsidRPr="00AB7B97" w:rsidRDefault="00AB7B97" w:rsidP="009E2380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5984" w:rsidRPr="00B55984" w:rsidRDefault="00B55984" w:rsidP="009E2380">
      <w:pPr>
        <w:numPr>
          <w:ilvl w:val="0"/>
          <w:numId w:val="3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5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Условия стимулирования.</w:t>
      </w:r>
    </w:p>
    <w:p w:rsidR="00B55984" w:rsidRPr="00B55984" w:rsidRDefault="00B55984" w:rsidP="00B55984">
      <w:pPr>
        <w:numPr>
          <w:ilvl w:val="1"/>
          <w:numId w:val="3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Основанием для стимулирования педагогических работников являются следующие критерии: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воспитанниками высоких показателей;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воспитанниками высоких показателей в сравнении с предыдущим периодом (динамика повышения качества образовательной услуги);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победители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республиканских </w:t>
      </w: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районных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всероссийских </w:t>
      </w: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конкурсов, выставок, соревнований, фестивалей и др.;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отсутствие обоснованных жалоб со стороны воспитанников, родителей (законных представителей), педагогических работников по поводу конфликтных ситуаций;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результативная и качественная подготовка мероприятий;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результативная деятельность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здоровье</w:t>
      </w:r>
      <w:r w:rsidR="00AE45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бережению;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разработка новых программ, положений;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качественное ведение документации;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качественное ведение банка данных детей;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поддержание благоприятного психологического климата в детском и педагогическом коллективе;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оф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ормления выставок, проведение туристско-краеведческих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соревнований ,концертов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мастер классов, олимпиад по краеведению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высокий уровень организации и контроля (мониторинга) учебно-воспитательного процесса;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внедрение и активное использование средств информационно-коммуникативной культуры в образовательный процесс и деятельность работников (работа с сайтом);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 общение и внедрение передового опыта, нестандартных учебных занятий и внеклассных мероприятий.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9E2380">
      <w:pPr>
        <w:numPr>
          <w:ilvl w:val="0"/>
          <w:numId w:val="5"/>
        </w:numPr>
        <w:shd w:val="clear" w:color="auto" w:fill="FFFFFF"/>
        <w:spacing w:after="0" w:line="338" w:lineRule="atLeast"/>
        <w:ind w:left="3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стимулирования.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Доля и объем стимулирующей части фонда оплаты труда рассчитывается комиссией по распределению стимулирующих надбавок в соответствии с фондом образовательного учреждения и согласовывается с руководителем образовательного учреждения.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распределения стимулирующей части разрабатываются показатели (критерии) оценки качества профессиональной деятельности работников Дома детского творчества.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Сумма, оставшаяся после распределения </w:t>
      </w:r>
      <w:proofErr w:type="gramStart"/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стимулирующей части</w:t>
      </w:r>
      <w:proofErr w:type="gramEnd"/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распределяется одинаково между всеми педагогическими работниками.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совмещения должностей стимулирование осуществляется по основной деятельности.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Данные о результатах работы педагогических работников подаются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методистом</w:t>
      </w: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последний день месяца директору Дома детского творчества.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педагогическим работникам необходимо предоставить информацию о своих результатах работы за каждый текущий месяц.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 стимулирующих выплат производится за отчетный период (месяц) по каждому сотруднику.</w:t>
      </w:r>
    </w:p>
    <w:p w:rsidR="00B55984" w:rsidRPr="00B55984" w:rsidRDefault="00B55984" w:rsidP="00B55984">
      <w:pPr>
        <w:numPr>
          <w:ilvl w:val="1"/>
          <w:numId w:val="5"/>
        </w:numPr>
        <w:shd w:val="clear" w:color="auto" w:fill="FFFFFF"/>
        <w:spacing w:after="0" w:line="338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Показатели (критерии) оценки качества профессиональной деятельности работников Дома детского творчества: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B55984">
      <w:pPr>
        <w:shd w:val="clear" w:color="auto" w:fill="FFFFFF"/>
        <w:spacing w:after="0" w:line="338" w:lineRule="atLeast"/>
        <w:ind w:left="36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B55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55984" w:rsidRPr="00B55984" w:rsidRDefault="00B55984" w:rsidP="00B559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59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894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4614"/>
        <w:gridCol w:w="3498"/>
      </w:tblGrid>
      <w:tr w:rsidR="00B55984" w:rsidRPr="00B55984" w:rsidTr="00AE45F9">
        <w:trPr>
          <w:trHeight w:val="49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B559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п/п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B559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E25D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  <w:r w:rsidR="00E25DAA"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баллов </w:t>
            </w:r>
          </w:p>
        </w:tc>
      </w:tr>
      <w:tr w:rsidR="00B55984" w:rsidRPr="00B55984" w:rsidTr="00AE45F9">
        <w:trPr>
          <w:trHeight w:val="90"/>
        </w:trPr>
        <w:tc>
          <w:tcPr>
            <w:tcW w:w="8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B5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показатели для педагогических работников</w:t>
            </w:r>
          </w:p>
          <w:p w:rsidR="00B55984" w:rsidRPr="00B55984" w:rsidRDefault="00B55984" w:rsidP="00B559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 детского творчества</w:t>
            </w:r>
          </w:p>
        </w:tc>
      </w:tr>
      <w:tr w:rsidR="00B55984" w:rsidRPr="00B55984" w:rsidTr="00E25DAA">
        <w:trPr>
          <w:trHeight w:val="34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районных 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55984" w:rsidRPr="00B55984" w:rsidTr="00AE45F9">
        <w:trPr>
          <w:trHeight w:val="51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республиканских 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мероприятиях и конкурсах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55984" w:rsidRPr="00B55984" w:rsidTr="00AE45F9">
        <w:trPr>
          <w:trHeight w:val="55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всероссийских 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мероприятиях и конкурсах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AE45F9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55984" w:rsidRPr="00B55984" w:rsidTr="00AE45F9">
        <w:trPr>
          <w:trHeight w:val="49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ДДТ к новому учебному году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AE45F9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55984" w:rsidRPr="00B55984" w:rsidTr="00AE45F9">
        <w:trPr>
          <w:trHeight w:val="54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B55984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контингента воспитанников в конце учебного года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55984" w:rsidRPr="00B55984" w:rsidRDefault="00AE45F9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10004D">
        <w:trPr>
          <w:trHeight w:val="4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учебный кабинет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25DAA" w:rsidRPr="00B55984" w:rsidTr="0010004D">
        <w:trPr>
          <w:trHeight w:val="1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экспериментальной деятельности, разработка и внедрение авторских программ, положений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25DAA" w:rsidRPr="00B55984" w:rsidTr="00E25DAA">
        <w:trPr>
          <w:trHeight w:val="1653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распространение опыта работы (выступление на семинарах, методических советах, на родительских собраниях;</w:t>
            </w:r>
          </w:p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5DAA" w:rsidRPr="00B55984" w:rsidTr="00E25DAA">
        <w:trPr>
          <w:trHeight w:val="1653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E25DAA" w:rsidRDefault="00E25DAA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Публикации авторских работ ( не более 2 работ в месяц) в Интернет-сети на педагогических сайтах и др.)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25DAA" w:rsidRPr="00B55984" w:rsidTr="0010004D">
        <w:trPr>
          <w:trHeight w:val="15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педагогами и воспитанниками высоких показателей (призовые места на городском, районном, областном и международных уровнях)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районных</w:t>
            </w:r>
            <w:proofErr w:type="gramEnd"/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республиканском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уровне: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Всероссийском и международном уровнях: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25DAA" w:rsidRPr="00B55984" w:rsidTr="0010004D">
        <w:trPr>
          <w:trHeight w:val="16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мероприятиях ДДТ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10004D">
        <w:trPr>
          <w:trHeight w:val="27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E25DAA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открытых занятий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ДДТ</w:t>
            </w:r>
          </w:p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25DAA" w:rsidRPr="00B55984" w:rsidTr="0010004D">
        <w:trPr>
          <w:trHeight w:val="33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25DAA" w:rsidRPr="00B55984" w:rsidTr="0010004D">
        <w:trPr>
          <w:trHeight w:val="31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делопроизводства. Качественная работа по ведению трудовых книжек и договоров, статистического учета. Отслеживание прохождения документов, контроль за их исполнение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25DAA" w:rsidRPr="00B55984" w:rsidTr="009E2380">
        <w:trPr>
          <w:trHeight w:val="697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проведение, участие в конкурсах профессионального мастерства «Сердце отдаю детям».</w:t>
            </w:r>
          </w:p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Участие- </w:t>
            </w: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-5</w:t>
            </w:r>
          </w:p>
        </w:tc>
      </w:tr>
      <w:tr w:rsidR="00E25DAA" w:rsidRPr="00B55984" w:rsidTr="0010004D">
        <w:trPr>
          <w:trHeight w:val="15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 на основе использования организационной и компьютерной техники. Своевременный прием и регистрация поступившей корреспонденции по электронной почте.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10004D">
        <w:trPr>
          <w:trHeight w:val="103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Исполнительская дисциплина (качественное ведение документации, своевременная сдача отчетов).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10004D">
        <w:trPr>
          <w:trHeight w:val="570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 сайте  Дома детского творчества.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10004D">
        <w:trPr>
          <w:trHeight w:val="16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СМИ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B55984" w:rsidTr="00E25DAA">
        <w:trPr>
          <w:trHeight w:val="585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Звание «Почетный работник образования РФ»(по основному месту работы)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25DAA" w:rsidRPr="00B55984" w:rsidTr="00E25DAA">
        <w:trPr>
          <w:trHeight w:val="22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и работа в «</w:t>
            </w:r>
            <w:proofErr w:type="spellStart"/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Inlerno</w:t>
            </w:r>
            <w:proofErr w:type="spellEnd"/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B55984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DAA" w:rsidRPr="00E25DAA" w:rsidTr="00E25DAA">
        <w:trPr>
          <w:trHeight w:val="22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E25DAA" w:rsidRDefault="009E2380" w:rsidP="009E2380">
            <w:pPr>
              <w:spacing w:after="0" w:line="240" w:lineRule="auto"/>
              <w:ind w:left="3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E25DAA" w:rsidRDefault="00E25DAA" w:rsidP="009E2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промежуточной аттестации  учащихся( 2 раза в год)</w:t>
            </w:r>
          </w:p>
        </w:tc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AA" w:rsidRPr="00E25DAA" w:rsidRDefault="00E25DAA" w:rsidP="009E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5A7E50" w:rsidRPr="00E25DAA" w:rsidRDefault="005A7E50">
      <w:pPr>
        <w:rPr>
          <w:rFonts w:ascii="Times New Roman" w:hAnsi="Times New Roman" w:cs="Times New Roman"/>
          <w:sz w:val="20"/>
          <w:szCs w:val="20"/>
        </w:rPr>
      </w:pPr>
    </w:p>
    <w:sectPr w:rsidR="005A7E50" w:rsidRPr="00E2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3D97"/>
    <w:multiLevelType w:val="multilevel"/>
    <w:tmpl w:val="F9B8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B6DA1"/>
    <w:multiLevelType w:val="multilevel"/>
    <w:tmpl w:val="EB62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570B1"/>
    <w:multiLevelType w:val="multilevel"/>
    <w:tmpl w:val="0AB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F7C79"/>
    <w:multiLevelType w:val="multilevel"/>
    <w:tmpl w:val="0548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22F41"/>
    <w:multiLevelType w:val="multilevel"/>
    <w:tmpl w:val="15188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84"/>
    <w:rsid w:val="0002367D"/>
    <w:rsid w:val="00345002"/>
    <w:rsid w:val="005A7E50"/>
    <w:rsid w:val="009E2380"/>
    <w:rsid w:val="00AB7B97"/>
    <w:rsid w:val="00AE45F9"/>
    <w:rsid w:val="00B55984"/>
    <w:rsid w:val="00E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F284"/>
  <w15:chartTrackingRefBased/>
  <w15:docId w15:val="{EA599683-6FE8-4F2C-A44D-43411DC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5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9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5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6EAF5E84-E4AB-4405-81DB-880DEB04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Утверждаю</vt:lpstr>
      <vt:lpstr>    Директор МКОУ ДО « ДДТ»________С.М. Мирзаева</vt:lpstr>
      <vt:lpstr>    от 09.12.2017г</vt:lpstr>
      <vt:lpstr>    Положение о распределении стимулирующей надбавки работников муниципального образ</vt:lpstr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2017-12-13T05:43:00Z</dcterms:created>
  <dcterms:modified xsi:type="dcterms:W3CDTF">2017-12-13T06:18:00Z</dcterms:modified>
</cp:coreProperties>
</file>